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9C" w:rsidRPr="0007191B" w:rsidRDefault="00C8529C" w:rsidP="00C8529C">
      <w:pPr>
        <w:spacing w:line="360" w:lineRule="auto"/>
        <w:jc w:val="both"/>
        <w:rPr>
          <w:rFonts w:ascii="Consolas" w:hAnsi="Consolas"/>
          <w:b/>
          <w:color w:val="000000" w:themeColor="text1"/>
          <w:lang w:val="es-ES"/>
        </w:rPr>
      </w:pPr>
    </w:p>
    <w:p w:rsidR="00C8529C" w:rsidRPr="0007191B" w:rsidRDefault="00C8529C" w:rsidP="00C852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>Título profesional (frente y vuelta)</w:t>
      </w:r>
      <w:r>
        <w:rPr>
          <w:rFonts w:ascii="Consolas" w:eastAsia="Times New Roman" w:hAnsi="Consolas" w:cs="Times New Roman"/>
          <w:lang w:eastAsia="es-MX"/>
        </w:rPr>
        <w:t>;</w:t>
      </w:r>
    </w:p>
    <w:p w:rsidR="00C8529C" w:rsidRPr="0007191B" w:rsidRDefault="00C8529C" w:rsidP="00C852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>Legalización del Título profesional</w:t>
      </w:r>
      <w:r>
        <w:rPr>
          <w:rFonts w:ascii="Consolas" w:eastAsia="Times New Roman" w:hAnsi="Consolas" w:cs="Times New Roman"/>
          <w:lang w:eastAsia="es-MX"/>
        </w:rPr>
        <w:t>;</w:t>
      </w:r>
    </w:p>
    <w:p w:rsidR="00C8529C" w:rsidRPr="0007191B" w:rsidRDefault="00C8529C" w:rsidP="00C8529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 xml:space="preserve">En caso de que no se requiera legalización adjuntar documento que </w:t>
      </w:r>
      <w:r>
        <w:rPr>
          <w:rFonts w:ascii="Consolas" w:eastAsia="Times New Roman" w:hAnsi="Consolas" w:cs="Times New Roman"/>
          <w:lang w:eastAsia="es-MX"/>
        </w:rPr>
        <w:t xml:space="preserve">lo </w:t>
      </w:r>
      <w:r w:rsidRPr="0007191B">
        <w:rPr>
          <w:rFonts w:ascii="Consolas" w:eastAsia="Times New Roman" w:hAnsi="Consolas" w:cs="Times New Roman"/>
          <w:lang w:eastAsia="es-MX"/>
        </w:rPr>
        <w:t>acredite (constancia emitida</w:t>
      </w:r>
      <w:r>
        <w:rPr>
          <w:rFonts w:ascii="Consolas" w:eastAsia="Times New Roman" w:hAnsi="Consolas" w:cs="Times New Roman"/>
          <w:lang w:eastAsia="es-MX"/>
        </w:rPr>
        <w:t xml:space="preserve"> o comunicado en ese sentido</w:t>
      </w:r>
      <w:r w:rsidRPr="0007191B">
        <w:rPr>
          <w:rFonts w:ascii="Consolas" w:eastAsia="Times New Roman" w:hAnsi="Consolas" w:cs="Times New Roman"/>
          <w:lang w:eastAsia="es-MX"/>
        </w:rPr>
        <w:t xml:space="preserve"> por autoridad competente)</w:t>
      </w:r>
      <w:r>
        <w:rPr>
          <w:rFonts w:ascii="Consolas" w:eastAsia="Times New Roman" w:hAnsi="Consolas" w:cs="Times New Roman"/>
          <w:lang w:eastAsia="es-MX"/>
        </w:rPr>
        <w:t>.</w:t>
      </w:r>
    </w:p>
    <w:p w:rsidR="00C8529C" w:rsidRDefault="00C8529C" w:rsidP="00C8529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>
        <w:rPr>
          <w:rFonts w:ascii="Consolas" w:eastAsia="Times New Roman" w:hAnsi="Consolas" w:cs="Times New Roman"/>
          <w:lang w:eastAsia="es-MX"/>
        </w:rPr>
        <w:t xml:space="preserve">Los títulos emitidos por instrucciones en el Estado de Puebla, podrán acudir ante la </w:t>
      </w:r>
      <w:r w:rsidRPr="0007191B">
        <w:rPr>
          <w:rFonts w:ascii="Consolas" w:eastAsia="Times New Roman" w:hAnsi="Consolas" w:cs="Times New Roman"/>
          <w:lang w:eastAsia="es-MX"/>
        </w:rPr>
        <w:t xml:space="preserve">Dirección General de Gobierno </w:t>
      </w:r>
      <w:r>
        <w:rPr>
          <w:rFonts w:ascii="Consolas" w:eastAsia="Times New Roman" w:hAnsi="Consolas" w:cs="Times New Roman"/>
          <w:lang w:eastAsia="es-MX"/>
        </w:rPr>
        <w:t>para su debida legalización, la cual está ubicada en la calle 12 Norte No 810.</w:t>
      </w:r>
      <w:r w:rsidRPr="003D63A3">
        <w:rPr>
          <w:rFonts w:ascii="Consolas" w:eastAsia="Times New Roman" w:hAnsi="Consolas" w:cs="Times New Roman"/>
          <w:lang w:eastAsia="es-MX"/>
        </w:rPr>
        <w:t xml:space="preserve"> </w:t>
      </w:r>
    </w:p>
    <w:p w:rsidR="00C8529C" w:rsidRDefault="00C8529C" w:rsidP="00C8529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 xml:space="preserve">Los </w:t>
      </w:r>
      <w:r>
        <w:rPr>
          <w:rFonts w:ascii="Consolas" w:eastAsia="Times New Roman" w:hAnsi="Consolas" w:cs="Times New Roman"/>
          <w:lang w:eastAsia="es-MX"/>
        </w:rPr>
        <w:t>títulos expedidos en otra Entidad Federativa,</w:t>
      </w:r>
      <w:r w:rsidRPr="0007191B">
        <w:rPr>
          <w:rFonts w:ascii="Consolas" w:eastAsia="Times New Roman" w:hAnsi="Consolas" w:cs="Times New Roman"/>
          <w:lang w:eastAsia="es-MX"/>
        </w:rPr>
        <w:t xml:space="preserve"> deben estar legalizados por la autoridad competente en su Estado</w:t>
      </w:r>
      <w:r>
        <w:rPr>
          <w:rFonts w:ascii="Consolas" w:eastAsia="Times New Roman" w:hAnsi="Consolas" w:cs="Times New Roman"/>
          <w:lang w:eastAsia="es-MX"/>
        </w:rPr>
        <w:t>, y sólo en</w:t>
      </w:r>
      <w:r w:rsidRPr="0007191B">
        <w:rPr>
          <w:rFonts w:ascii="Consolas" w:eastAsia="Times New Roman" w:hAnsi="Consolas" w:cs="Times New Roman"/>
          <w:lang w:eastAsia="es-MX"/>
        </w:rPr>
        <w:t xml:space="preserve"> caso de que no se requiera </w:t>
      </w:r>
      <w:r>
        <w:rPr>
          <w:rFonts w:ascii="Consolas" w:eastAsia="Times New Roman" w:hAnsi="Consolas" w:cs="Times New Roman"/>
          <w:lang w:eastAsia="es-MX"/>
        </w:rPr>
        <w:t xml:space="preserve"> de ella, se debe adjuntar </w:t>
      </w:r>
      <w:r w:rsidRPr="0007191B">
        <w:rPr>
          <w:rFonts w:ascii="Consolas" w:eastAsia="Times New Roman" w:hAnsi="Consolas" w:cs="Times New Roman"/>
          <w:lang w:eastAsia="es-MX"/>
        </w:rPr>
        <w:t xml:space="preserve">constancia </w:t>
      </w:r>
      <w:r>
        <w:rPr>
          <w:rFonts w:ascii="Consolas" w:eastAsia="Times New Roman" w:hAnsi="Consolas" w:cs="Times New Roman"/>
          <w:lang w:eastAsia="es-MX"/>
        </w:rPr>
        <w:t>o comunicado que lo avale por autoridad competente que lo declare.</w:t>
      </w:r>
    </w:p>
    <w:p w:rsidR="00C8529C" w:rsidRDefault="00C8529C" w:rsidP="00C8529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>
        <w:rPr>
          <w:rFonts w:ascii="Consolas" w:eastAsia="Times New Roman" w:hAnsi="Consolas" w:cs="Times New Roman"/>
          <w:lang w:eastAsia="es-MX"/>
        </w:rPr>
        <w:t xml:space="preserve">Los títulos profesionales que cuenten con RVOE Federal por regla general deberán ser legalizados en la Secretaría de Gobernación del orden federal, salvo el </w:t>
      </w:r>
      <w:r w:rsidRPr="0007191B">
        <w:rPr>
          <w:rFonts w:ascii="Consolas" w:eastAsia="Times New Roman" w:hAnsi="Consolas" w:cs="Times New Roman"/>
          <w:lang w:eastAsia="es-MX"/>
        </w:rPr>
        <w:t xml:space="preserve">caso de que no se requiera </w:t>
      </w:r>
      <w:r>
        <w:rPr>
          <w:rFonts w:ascii="Consolas" w:eastAsia="Times New Roman" w:hAnsi="Consolas" w:cs="Times New Roman"/>
          <w:lang w:eastAsia="es-MX"/>
        </w:rPr>
        <w:t xml:space="preserve">de ella, bajo </w:t>
      </w:r>
      <w:r w:rsidRPr="0007191B">
        <w:rPr>
          <w:rFonts w:ascii="Consolas" w:eastAsia="Times New Roman" w:hAnsi="Consolas" w:cs="Times New Roman"/>
          <w:lang w:eastAsia="es-MX"/>
        </w:rPr>
        <w:t xml:space="preserve">constancia </w:t>
      </w:r>
      <w:r>
        <w:rPr>
          <w:rFonts w:ascii="Consolas" w:eastAsia="Times New Roman" w:hAnsi="Consolas" w:cs="Times New Roman"/>
          <w:lang w:eastAsia="es-MX"/>
        </w:rPr>
        <w:t>o comunicado que lo avale por autoridad competente que así lo justifique.</w:t>
      </w:r>
    </w:p>
    <w:p w:rsidR="00C8529C" w:rsidRPr="00063948" w:rsidRDefault="00C8529C" w:rsidP="00C8529C">
      <w:pPr>
        <w:pStyle w:val="Prrafodelista"/>
        <w:spacing w:line="360" w:lineRule="auto"/>
        <w:ind w:left="1440"/>
        <w:jc w:val="both"/>
        <w:rPr>
          <w:rFonts w:ascii="Consolas" w:eastAsia="Times New Roman" w:hAnsi="Consolas" w:cs="Times New Roman"/>
          <w:lang w:eastAsia="es-MX"/>
        </w:rPr>
      </w:pPr>
    </w:p>
    <w:p w:rsidR="00C8529C" w:rsidRDefault="00C8529C" w:rsidP="00C8529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>Orden y comprobante de pago de derechos por el registro del título profesional, ante el Consejo de la Judicatura del Poder Judicial del Estado de Puebla </w:t>
      </w:r>
      <w:r w:rsidRPr="0007191B">
        <w:rPr>
          <w:rFonts w:ascii="Consolas" w:eastAsia="Times New Roman" w:hAnsi="Consolas" w:cs="Times New Roman"/>
          <w:b/>
          <w:bCs/>
          <w:lang w:eastAsia="es-MX"/>
        </w:rPr>
        <w:t>(costo: $305.00)</w:t>
      </w:r>
      <w:r>
        <w:rPr>
          <w:rStyle w:val="Refdenotaalpie"/>
          <w:rFonts w:ascii="Consolas" w:eastAsia="Times New Roman" w:hAnsi="Consolas" w:cs="Times New Roman"/>
          <w:b/>
          <w:bCs/>
          <w:lang w:eastAsia="es-MX"/>
        </w:rPr>
        <w:footnoteReference w:id="1"/>
      </w:r>
      <w:r>
        <w:rPr>
          <w:rFonts w:ascii="Consolas" w:eastAsia="Times New Roman" w:hAnsi="Consolas" w:cs="Helvetica"/>
          <w:lang w:eastAsia="es-MX"/>
        </w:rPr>
        <w:t>.</w:t>
      </w:r>
    </w:p>
    <w:p w:rsidR="00C8529C" w:rsidRDefault="00C8529C" w:rsidP="00C8529C">
      <w:pPr>
        <w:shd w:val="clear" w:color="auto" w:fill="FFFFFF"/>
        <w:spacing w:before="100" w:beforeAutospacing="1" w:after="100" w:afterAutospacing="1" w:line="360" w:lineRule="auto"/>
        <w:ind w:left="1416"/>
        <w:jc w:val="both"/>
        <w:rPr>
          <w:rFonts w:ascii="Consolas" w:eastAsia="Times New Roman" w:hAnsi="Consolas" w:cs="Helvetica"/>
          <w:lang w:eastAsia="es-MX"/>
        </w:rPr>
      </w:pPr>
      <w:r>
        <w:rPr>
          <w:rFonts w:ascii="Consolas" w:eastAsia="Times New Roman" w:hAnsi="Consolas" w:cs="Helvetica"/>
          <w:lang w:eastAsia="es-MX"/>
        </w:rPr>
        <w:t>Para obtener la orden de pago, se puede realizar por las siguientes vías:</w:t>
      </w:r>
    </w:p>
    <w:p w:rsidR="00C8529C" w:rsidRPr="005467CC" w:rsidRDefault="00C8529C" w:rsidP="00C8529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5467CC">
        <w:rPr>
          <w:rFonts w:ascii="Consolas" w:eastAsia="Times New Roman" w:hAnsi="Consolas" w:cs="Helvetica"/>
          <w:b/>
          <w:lang w:eastAsia="es-MX"/>
        </w:rPr>
        <w:lastRenderedPageBreak/>
        <w:t>Presencial</w:t>
      </w:r>
      <w:r w:rsidRPr="005467CC">
        <w:rPr>
          <w:rFonts w:ascii="Consolas" w:eastAsia="Times New Roman" w:hAnsi="Consolas" w:cs="Helvetica"/>
          <w:lang w:eastAsia="es-MX"/>
        </w:rPr>
        <w:t xml:space="preserve">. </w:t>
      </w:r>
      <w:r w:rsidRPr="005467CC">
        <w:rPr>
          <w:rFonts w:ascii="Consolas" w:hAnsi="Consolas"/>
          <w:color w:val="000000" w:themeColor="text1"/>
          <w:lang w:val="es-ES"/>
        </w:rPr>
        <w:t>El usuario podrá acudir a las instalaciones del Poder Judicial del Estado,</w:t>
      </w:r>
      <w:r w:rsidRPr="005467CC">
        <w:rPr>
          <w:rFonts w:ascii="Consolas" w:hAnsi="Consolas" w:cs="Helvetica"/>
          <w:color w:val="000000" w:themeColor="text1"/>
          <w:shd w:val="clear" w:color="auto" w:fill="FFFFFF"/>
        </w:rPr>
        <w:t xml:space="preserve"> ubicadas en Prolongación de la Avenida 11 Sur No. 11921, Colonia: Ex hacienda </w:t>
      </w:r>
      <w:proofErr w:type="spellStart"/>
      <w:r w:rsidRPr="005467CC">
        <w:rPr>
          <w:rFonts w:ascii="Consolas" w:hAnsi="Consolas" w:cs="Helvetica"/>
          <w:color w:val="000000" w:themeColor="text1"/>
          <w:shd w:val="clear" w:color="auto" w:fill="FFFFFF"/>
        </w:rPr>
        <w:t>Castillotla</w:t>
      </w:r>
      <w:proofErr w:type="spellEnd"/>
      <w:r w:rsidRPr="005467CC">
        <w:rPr>
          <w:rFonts w:ascii="Consolas" w:hAnsi="Consolas" w:cs="Helvetica"/>
          <w:color w:val="000000" w:themeColor="text1"/>
          <w:shd w:val="clear" w:color="auto" w:fill="FFFFFF"/>
        </w:rPr>
        <w:t xml:space="preserve"> y dirigirse al área de Tesorería, ubicado en planta baja, en donde le proporcionarán referencia bancaria para que pueda realizar su pago.</w:t>
      </w:r>
    </w:p>
    <w:p w:rsidR="00C8529C" w:rsidRPr="005467CC" w:rsidRDefault="00C8529C" w:rsidP="00C8529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5467CC">
        <w:rPr>
          <w:rFonts w:ascii="Consolas" w:eastAsia="Times New Roman" w:hAnsi="Consolas" w:cs="Helvetica"/>
          <w:b/>
          <w:lang w:eastAsia="es-MX"/>
        </w:rPr>
        <w:t>Correo Institucional</w:t>
      </w:r>
      <w:r w:rsidRPr="005467CC">
        <w:rPr>
          <w:rFonts w:ascii="Consolas" w:eastAsia="Times New Roman" w:hAnsi="Consolas" w:cs="Helvetica"/>
          <w:lang w:eastAsia="es-MX"/>
        </w:rPr>
        <w:t xml:space="preserve">. El usuario tiene la opción de redactar un correo electrónico, haciendo mención de su nombre completo, domicilio y la solicitud de referencia bancaria remitiéndolo a la siguiente dirección: </w:t>
      </w:r>
      <w:r w:rsidRPr="005467CC">
        <w:rPr>
          <w:rFonts w:ascii="Consolas" w:hAnsi="Consolas"/>
          <w:b/>
          <w:i/>
        </w:rPr>
        <w:t>tesoreria@htsjpuebla.gob.mx.</w:t>
      </w:r>
    </w:p>
    <w:p w:rsidR="00C8529C" w:rsidRPr="005467CC" w:rsidRDefault="00C8529C" w:rsidP="00C8529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5467CC">
        <w:rPr>
          <w:rFonts w:ascii="Consolas" w:eastAsia="Times New Roman" w:hAnsi="Consolas" w:cs="Helvetica"/>
          <w:b/>
          <w:lang w:eastAsia="es-MX"/>
        </w:rPr>
        <w:t>Teléfono</w:t>
      </w:r>
      <w:r w:rsidRPr="005467CC">
        <w:rPr>
          <w:rFonts w:ascii="Consolas" w:eastAsia="Times New Roman" w:hAnsi="Consolas" w:cs="Helvetica"/>
          <w:lang w:eastAsia="es-MX"/>
        </w:rPr>
        <w:t>. El usuario también tiene la posibilidad de solicitar su referencia bancaria vía telefónica, marcando al 22 22 13 73 70 extensión 6044.</w:t>
      </w:r>
    </w:p>
    <w:p w:rsidR="00C8529C" w:rsidRDefault="00C8529C" w:rsidP="00C8529C">
      <w:pPr>
        <w:shd w:val="clear" w:color="auto" w:fill="FFFFFF"/>
        <w:spacing w:before="100" w:beforeAutospacing="1" w:after="100" w:afterAutospacing="1" w:line="360" w:lineRule="auto"/>
        <w:ind w:left="1416"/>
        <w:jc w:val="both"/>
        <w:rPr>
          <w:rFonts w:ascii="Consolas" w:eastAsia="Times New Roman" w:hAnsi="Consolas" w:cs="Helvetica"/>
          <w:lang w:eastAsia="es-MX"/>
        </w:rPr>
      </w:pPr>
      <w:r>
        <w:rPr>
          <w:rFonts w:ascii="Consolas" w:eastAsia="Times New Roman" w:hAnsi="Consolas" w:cs="Helvetica"/>
          <w:lang w:eastAsia="es-MX"/>
        </w:rPr>
        <w:t xml:space="preserve">Cabe destacar que el pago puede realizarse en la sucursal bancaria de su preferencia o por transferencia, en este último caso, el usuario deberá descargar y adjuntar el comprobante de pago electrónico emitido por el Banco de México, mismo que puede descargar de la siguiente página </w:t>
      </w:r>
      <w:hyperlink r:id="rId7" w:history="1">
        <w:r w:rsidRPr="005E71F8">
          <w:rPr>
            <w:rStyle w:val="Hipervnculo"/>
            <w:rFonts w:ascii="Consolas" w:eastAsia="Times New Roman" w:hAnsi="Consolas" w:cs="Helvetica"/>
            <w:lang w:eastAsia="es-MX"/>
          </w:rPr>
          <w:t>https://www.banxico.org.mx/</w:t>
        </w:r>
      </w:hyperlink>
      <w:r>
        <w:rPr>
          <w:rFonts w:ascii="Consolas" w:eastAsia="Times New Roman" w:hAnsi="Consolas" w:cs="Helvetica"/>
          <w:lang w:eastAsia="es-MX"/>
        </w:rPr>
        <w:t>, este documento prueba la aplicación correcta del pago por los derechos del registro del título profesional.</w:t>
      </w:r>
    </w:p>
    <w:p w:rsidR="00C8529C" w:rsidRPr="003D63A3" w:rsidRDefault="00C8529C" w:rsidP="00C8529C">
      <w:pPr>
        <w:shd w:val="clear" w:color="auto" w:fill="FFFFFF"/>
        <w:spacing w:before="100" w:beforeAutospacing="1" w:after="100" w:afterAutospacing="1" w:line="360" w:lineRule="auto"/>
        <w:ind w:left="1416"/>
        <w:jc w:val="both"/>
        <w:rPr>
          <w:rFonts w:ascii="Consolas" w:eastAsia="Times New Roman" w:hAnsi="Consolas" w:cs="Helvetica"/>
          <w:lang w:eastAsia="es-MX"/>
        </w:rPr>
      </w:pPr>
      <w:r>
        <w:rPr>
          <w:rFonts w:ascii="Consolas" w:eastAsia="Times New Roman" w:hAnsi="Consolas" w:cs="Helvetica"/>
          <w:lang w:eastAsia="es-MX"/>
        </w:rPr>
        <w:t xml:space="preserve">En caso de requerir factura, el usuario deberá hacer mención de ello en el área de Tesorería, en donde proporcionará el Registro Federal de Contribuyente (RFC) y su </w:t>
      </w:r>
      <w:r w:rsidRPr="00AD4E7E">
        <w:rPr>
          <w:rFonts w:ascii="Consolas" w:eastAsia="Times New Roman" w:hAnsi="Consolas" w:cs="Helvetica"/>
          <w:lang w:eastAsia="es-MX"/>
        </w:rPr>
        <w:t>Clave Única de Registro de Población</w:t>
      </w:r>
      <w:r>
        <w:rPr>
          <w:rFonts w:ascii="Consolas" w:eastAsia="Times New Roman" w:hAnsi="Consolas" w:cs="Helvetica"/>
          <w:lang w:eastAsia="es-MX"/>
        </w:rPr>
        <w:t xml:space="preserve"> (CURP).</w:t>
      </w:r>
    </w:p>
    <w:p w:rsidR="00C8529C" w:rsidRPr="0007191B" w:rsidRDefault="00C8529C" w:rsidP="00C8529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>
        <w:rPr>
          <w:rFonts w:ascii="Consolas" w:eastAsia="Times New Roman" w:hAnsi="Consolas" w:cs="Helvetica"/>
          <w:lang w:eastAsia="es-MX"/>
        </w:rPr>
        <w:t>I</w:t>
      </w:r>
      <w:r w:rsidRPr="0007191B">
        <w:rPr>
          <w:rFonts w:ascii="Consolas" w:eastAsia="Times New Roman" w:hAnsi="Consolas" w:cs="Helvetica"/>
          <w:lang w:eastAsia="es-MX"/>
        </w:rPr>
        <w:t xml:space="preserve">dentificación oficial vigente con </w:t>
      </w:r>
      <w:r>
        <w:rPr>
          <w:rFonts w:ascii="Consolas" w:eastAsia="Times New Roman" w:hAnsi="Consolas" w:cs="Helvetica"/>
          <w:lang w:eastAsia="es-MX"/>
        </w:rPr>
        <w:t>fotografía.</w:t>
      </w:r>
    </w:p>
    <w:p w:rsidR="00C8529C" w:rsidRPr="0007191B" w:rsidRDefault="00C8529C" w:rsidP="00C852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07191B">
        <w:rPr>
          <w:rFonts w:ascii="Consolas" w:eastAsia="Times New Roman" w:hAnsi="Consolas" w:cs="Times New Roman"/>
          <w:lang w:eastAsia="es-MX"/>
        </w:rPr>
        <w:t>Cedula profesional</w:t>
      </w:r>
      <w:r>
        <w:rPr>
          <w:rFonts w:ascii="Consolas" w:eastAsia="Times New Roman" w:hAnsi="Consolas" w:cs="Times New Roman"/>
          <w:lang w:eastAsia="es-MX"/>
        </w:rPr>
        <w:t>.</w:t>
      </w:r>
    </w:p>
    <w:p w:rsidR="005D63E9" w:rsidRPr="005D63E9" w:rsidRDefault="00C8529C" w:rsidP="005D63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7C6030">
        <w:rPr>
          <w:rFonts w:ascii="Consolas" w:eastAsia="Times New Roman" w:hAnsi="Consolas" w:cs="Times New Roman"/>
          <w:lang w:eastAsia="es-MX"/>
        </w:rPr>
        <w:lastRenderedPageBreak/>
        <w:t>Consult</w:t>
      </w:r>
      <w:r w:rsidR="005D63E9">
        <w:rPr>
          <w:rFonts w:ascii="Consolas" w:eastAsia="Times New Roman" w:hAnsi="Consolas" w:cs="Times New Roman"/>
          <w:lang w:eastAsia="es-MX"/>
        </w:rPr>
        <w:t>a de la cedula profesional en cualquiera de l</w:t>
      </w:r>
      <w:bookmarkStart w:id="0" w:name="_GoBack"/>
      <w:bookmarkEnd w:id="0"/>
      <w:r w:rsidR="005D63E9">
        <w:rPr>
          <w:rFonts w:ascii="Consolas" w:eastAsia="Times New Roman" w:hAnsi="Consolas" w:cs="Times New Roman"/>
          <w:lang w:eastAsia="es-MX"/>
        </w:rPr>
        <w:t>os</w:t>
      </w:r>
      <w:r w:rsidRPr="007C6030">
        <w:rPr>
          <w:rFonts w:ascii="Consolas" w:eastAsia="Times New Roman" w:hAnsi="Consolas" w:cs="Times New Roman"/>
          <w:lang w:eastAsia="es-MX"/>
        </w:rPr>
        <w:t xml:space="preserve"> siguiente</w:t>
      </w:r>
      <w:r w:rsidR="005D63E9">
        <w:rPr>
          <w:rFonts w:ascii="Consolas" w:eastAsia="Times New Roman" w:hAnsi="Consolas" w:cs="Times New Roman"/>
          <w:lang w:eastAsia="es-MX"/>
        </w:rPr>
        <w:t xml:space="preserve">s </w:t>
      </w:r>
      <w:r w:rsidRPr="007C6030">
        <w:rPr>
          <w:rFonts w:ascii="Consolas" w:eastAsia="Times New Roman" w:hAnsi="Consolas" w:cs="Times New Roman"/>
          <w:lang w:eastAsia="es-MX"/>
        </w:rPr>
        <w:t xml:space="preserve"> enlace</w:t>
      </w:r>
      <w:r w:rsidR="005D63E9">
        <w:rPr>
          <w:rFonts w:ascii="Consolas" w:eastAsia="Times New Roman" w:hAnsi="Consolas" w:cs="Times New Roman"/>
          <w:lang w:eastAsia="es-MX"/>
        </w:rPr>
        <w:t xml:space="preserve">s </w:t>
      </w:r>
      <w:hyperlink r:id="rId8" w:history="1">
        <w:r w:rsidR="007C6030" w:rsidRPr="007C6030">
          <w:rPr>
            <w:rStyle w:val="Hipervnculo"/>
            <w:rFonts w:ascii="Consolas" w:hAnsi="Consolas" w:cs="Arial"/>
          </w:rPr>
          <w:t>https://www.cedulaprofesional.sep.gob.mx/cedula/presidencia/indexAvanzada.action</w:t>
        </w:r>
      </w:hyperlink>
      <w:r w:rsidR="007C6030">
        <w:t xml:space="preserve"> </w:t>
      </w:r>
      <w:r w:rsidR="005D63E9">
        <w:t xml:space="preserve">o </w:t>
      </w:r>
      <w:hyperlink r:id="rId9" w:history="1">
        <w:r w:rsidR="005D63E9" w:rsidRPr="005D63E9">
          <w:rPr>
            <w:rStyle w:val="Hipervnculo"/>
            <w:rFonts w:ascii="Consolas" w:hAnsi="Consolas"/>
          </w:rPr>
          <w:t>https://cedulaprofesionalsep-gob.mx/</w:t>
        </w:r>
      </w:hyperlink>
      <w:r w:rsidR="005D63E9">
        <w:t xml:space="preserve"> </w:t>
      </w:r>
    </w:p>
    <w:p w:rsidR="00C8529C" w:rsidRPr="007C6030" w:rsidRDefault="00C8529C" w:rsidP="005D63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nsolas" w:eastAsia="Times New Roman" w:hAnsi="Consolas" w:cs="Times New Roman"/>
          <w:lang w:eastAsia="es-MX"/>
        </w:rPr>
      </w:pPr>
      <w:r w:rsidRPr="007C6030">
        <w:rPr>
          <w:rFonts w:ascii="Consolas" w:eastAsia="Times New Roman" w:hAnsi="Consolas" w:cs="Helvetica"/>
          <w:lang w:eastAsia="es-MX"/>
        </w:rPr>
        <w:t>Escrito dirigido al Presidente del Consejo de la Judicatura del Poder Judicial del Estado, que deberá contener:</w:t>
      </w:r>
    </w:p>
    <w:p w:rsidR="00C8529C" w:rsidRDefault="00C8529C" w:rsidP="00C8529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07191B">
        <w:rPr>
          <w:rFonts w:ascii="Consolas" w:eastAsia="Times New Roman" w:hAnsi="Consolas" w:cs="Helvetica"/>
          <w:lang w:eastAsia="es-MX"/>
        </w:rPr>
        <w:t>Nombre (s) y apellido (s) del interesado (a);</w:t>
      </w:r>
    </w:p>
    <w:p w:rsidR="00C8529C" w:rsidRPr="0007191B" w:rsidRDefault="00C8529C" w:rsidP="00C8529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>
        <w:rPr>
          <w:rFonts w:ascii="Consolas" w:eastAsia="Times New Roman" w:hAnsi="Consolas" w:cs="Helvetica"/>
          <w:lang w:eastAsia="es-MX"/>
        </w:rPr>
        <w:t>Solicitud del registro;</w:t>
      </w:r>
    </w:p>
    <w:p w:rsidR="00C8529C" w:rsidRPr="0007191B" w:rsidRDefault="00C8529C" w:rsidP="00C8529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07191B">
        <w:rPr>
          <w:rFonts w:ascii="Consolas" w:eastAsia="Times New Roman" w:hAnsi="Consolas" w:cs="Helvetica"/>
          <w:lang w:eastAsia="es-MX"/>
        </w:rPr>
        <w:t>Domicilio y/o correo electrónico para recibir notificaciones y número telefónico y</w:t>
      </w:r>
    </w:p>
    <w:p w:rsidR="00C8529C" w:rsidRPr="008A3376" w:rsidRDefault="00C8529C" w:rsidP="00C8529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nsolas" w:eastAsia="Times New Roman" w:hAnsi="Consolas" w:cs="Helvetica"/>
          <w:lang w:eastAsia="es-MX"/>
        </w:rPr>
      </w:pPr>
      <w:r w:rsidRPr="0007191B">
        <w:rPr>
          <w:rFonts w:ascii="Consolas" w:eastAsia="Times New Roman" w:hAnsi="Consolas" w:cs="Helvetica"/>
          <w:lang w:eastAsia="es-MX"/>
        </w:rPr>
        <w:t>Nombre de la Institución que expidió el título profesional, número de registro y fecha de expedición.</w:t>
      </w:r>
    </w:p>
    <w:p w:rsidR="00835E5F" w:rsidRDefault="00835E5F"/>
    <w:sectPr w:rsidR="0083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9C" w:rsidRDefault="00C8529C" w:rsidP="00C8529C">
      <w:r>
        <w:separator/>
      </w:r>
    </w:p>
  </w:endnote>
  <w:endnote w:type="continuationSeparator" w:id="0">
    <w:p w:rsidR="00C8529C" w:rsidRDefault="00C8529C" w:rsidP="00C8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9C" w:rsidRDefault="00C8529C" w:rsidP="00C8529C">
      <w:r>
        <w:separator/>
      </w:r>
    </w:p>
  </w:footnote>
  <w:footnote w:type="continuationSeparator" w:id="0">
    <w:p w:rsidR="00C8529C" w:rsidRDefault="00C8529C" w:rsidP="00C8529C">
      <w:r>
        <w:continuationSeparator/>
      </w:r>
    </w:p>
  </w:footnote>
  <w:footnote w:id="1">
    <w:p w:rsidR="00C8529C" w:rsidRDefault="00C8529C" w:rsidP="00C8529C">
      <w:pPr>
        <w:shd w:val="clear" w:color="auto" w:fill="FFFFFF"/>
        <w:spacing w:before="100" w:beforeAutospacing="1" w:line="276" w:lineRule="auto"/>
        <w:jc w:val="both"/>
        <w:rPr>
          <w:rFonts w:ascii="Consolas" w:eastAsia="Times New Roman" w:hAnsi="Consolas" w:cs="Helvetica"/>
          <w:lang w:eastAsia="es-MX"/>
        </w:rPr>
      </w:pPr>
      <w:r>
        <w:rPr>
          <w:rStyle w:val="Refdenotaalpie"/>
        </w:rPr>
        <w:footnoteRef/>
      </w:r>
      <w:r>
        <w:t xml:space="preserve"> </w:t>
      </w:r>
      <w:r w:rsidRPr="009506B2">
        <w:rPr>
          <w:rFonts w:ascii="Consolas" w:eastAsia="Times New Roman" w:hAnsi="Consolas" w:cs="Helvetica"/>
          <w:sz w:val="20"/>
          <w:lang w:eastAsia="es-MX"/>
        </w:rPr>
        <w:t xml:space="preserve">Este </w:t>
      </w:r>
      <w:r>
        <w:rPr>
          <w:rFonts w:ascii="Consolas" w:eastAsia="Times New Roman" w:hAnsi="Consolas" w:cs="Helvetica"/>
          <w:sz w:val="20"/>
          <w:lang w:eastAsia="es-MX"/>
        </w:rPr>
        <w:t xml:space="preserve">dato </w:t>
      </w:r>
      <w:r w:rsidRPr="009506B2">
        <w:rPr>
          <w:rFonts w:ascii="Consolas" w:eastAsia="Times New Roman" w:hAnsi="Consolas" w:cs="Helvetica"/>
          <w:sz w:val="20"/>
          <w:lang w:eastAsia="es-MX"/>
        </w:rPr>
        <w:t>puede variar, de acuerdo a lo establecido en la Ley de Ingresos del Estado, conforme a cada ejercicio fiscal.</w:t>
      </w:r>
    </w:p>
    <w:p w:rsidR="00C8529C" w:rsidRPr="008A3376" w:rsidRDefault="00C8529C" w:rsidP="00C8529C">
      <w:pPr>
        <w:pStyle w:val="Textonotapie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40A"/>
    <w:multiLevelType w:val="hybridMultilevel"/>
    <w:tmpl w:val="576AED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D4EC7"/>
    <w:multiLevelType w:val="multilevel"/>
    <w:tmpl w:val="B71A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F1125"/>
    <w:multiLevelType w:val="hybridMultilevel"/>
    <w:tmpl w:val="E04EA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E2799A"/>
    <w:multiLevelType w:val="hybridMultilevel"/>
    <w:tmpl w:val="A67EAAE0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9C"/>
    <w:rsid w:val="005D63E9"/>
    <w:rsid w:val="00641F32"/>
    <w:rsid w:val="007C6030"/>
    <w:rsid w:val="00835E5F"/>
    <w:rsid w:val="00B02003"/>
    <w:rsid w:val="00C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A9A1-C5A8-421C-8BAC-5A534C6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9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29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852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2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529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85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ulaprofesional.sep.gob.mx/cedula/presidencia/indexAvanzada.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xico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dulaprofesionalsep-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R.B</cp:lastModifiedBy>
  <cp:revision>5</cp:revision>
  <dcterms:created xsi:type="dcterms:W3CDTF">2021-06-30T17:22:00Z</dcterms:created>
  <dcterms:modified xsi:type="dcterms:W3CDTF">2021-06-30T20:12:00Z</dcterms:modified>
</cp:coreProperties>
</file>